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nl-NL"/>
          <w14:ligatures w14:val="none"/>
        </w:rPr>
        <w:t>Docentenhandleiding –</w:t>
      </w:r>
      <w:r w:rsidRPr="006C38A8">
        <w:rPr>
          <w:rFonts w:ascii="Cambria" w:eastAsia="Times New Roman" w:hAnsi="Cambria" w:cs="Times New Roman"/>
          <w:b/>
          <w:bCs/>
          <w:kern w:val="36"/>
          <w:sz w:val="32"/>
          <w:szCs w:val="32"/>
          <w:lang w:eastAsia="nl-NL"/>
          <w14:ligatures w14:val="none"/>
        </w:rPr>
        <w:t xml:space="preserve"> </w:t>
      </w:r>
      <w:r w:rsidRPr="006C38A8">
        <w:rPr>
          <w:rFonts w:ascii="Cambria" w:eastAsia="Times New Roman" w:hAnsi="Cambria" w:cs="Times New Roman"/>
          <w:b/>
          <w:bCs/>
          <w:i/>
          <w:iCs/>
          <w:kern w:val="36"/>
          <w:sz w:val="32"/>
          <w:szCs w:val="32"/>
          <w:lang w:eastAsia="nl-NL"/>
          <w14:ligatures w14:val="none"/>
        </w:rPr>
        <w:t>Overleven toen &amp; nu</w:t>
      </w:r>
    </w:p>
    <w:p w:rsidR="006C38A8" w:rsidRDefault="008A140D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TV: Tijd van Steden en Staten </w:t>
      </w:r>
    </w:p>
    <w:p w:rsidR="008A140D" w:rsidRDefault="008A140D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8A140D" w:rsidRDefault="008A140D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KA: n.v.t. Meer een samenkomst van politiek, economie, cultureel en mentaal in de Middeleeuwen vergelijken met nu. Koppeling met Burgerschap/religie. </w:t>
      </w:r>
    </w:p>
    <w:p w:rsidR="008A140D" w:rsidRDefault="008A140D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8A140D" w:rsidRPr="006C38A8" w:rsidRDefault="008A140D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Duur: ca. 2 lessen van 45 min. 1 les intro &amp; aan de slag, 1 les presenteren. </w:t>
      </w:r>
    </w:p>
    <w:p w:rsidR="006C38A8" w:rsidRPr="006C38A8" w:rsidRDefault="006C38A8" w:rsidP="006C38A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  <w:t>Leerdoelen</w:t>
      </w:r>
    </w:p>
    <w:p w:rsidR="006C38A8" w:rsidRPr="006C38A8" w:rsidRDefault="006C38A8" w:rsidP="006C38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Leerlingen beschrijven hoe mensen in de middeleeuwen reageerden op crisissen zoals ziekte, honger of oorlog.</w:t>
      </w:r>
    </w:p>
    <w:p w:rsidR="006C38A8" w:rsidRPr="006C38A8" w:rsidRDefault="006C38A8" w:rsidP="006C38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Leerlingen onderzoeken hoe mensen vandaag omgaan met vergelijkbare problemen.</w:t>
      </w:r>
    </w:p>
    <w:p w:rsidR="006C38A8" w:rsidRPr="006C38A8" w:rsidRDefault="006C38A8" w:rsidP="006C38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Leerlingen vergelijken overtuigingen, oplossingen en gedrag van toen en nu.</w:t>
      </w:r>
    </w:p>
    <w:p w:rsidR="006C38A8" w:rsidRPr="006C38A8" w:rsidRDefault="006C38A8" w:rsidP="006C38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Leerlingen presenteren hun bevindingen visueel (poster, video, tentoonstelling).</w:t>
      </w:r>
    </w:p>
    <w:p w:rsidR="006C38A8" w:rsidRPr="006C38A8" w:rsidRDefault="006C38A8" w:rsidP="006C38A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Leerlingen reflecteren op wat er veranderd is in de manier waarop samenlevingen omgaan met rampspoed.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Achtergrondinformatie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In barre tijden 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(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oorlog, ziekte, hongersnood of kou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) 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probeerden mensen te overleven met de middelen en overtuigingen die ze hadden.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I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n de middeleeuwen speelden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geloof, gemeenschap en toeval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een grote rol: men zag rampen vaak als een straf of beproeving van God. Tegelijk waren er vormen van samenwerking en zorg, zoals kloosterzusters die zieken verzorgden of boeren die voedsel deelden.</w:t>
      </w: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Vandaag de dag kampen we met andere rampen, maar onze reacties vertonen opvallende overeenkomsten: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angst, samenwerking, hoop en aanpassing.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Deze les helpt leerlingen te onderzoeken hoe mensen toen én nu omgaan met crisis. De vergelijking met bijvoorbeeld corona of de oorlog in Oekraïne maakt het onderwerp herkenbaar en actueel.</w:t>
      </w:r>
    </w:p>
    <w:p w:rsidR="006C38A8" w:rsidRPr="006C38A8" w:rsidRDefault="006C38A8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 algemeen</w:t>
      </w:r>
    </w:p>
    <w:p w:rsidR="006C38A8" w:rsidRPr="006C38A8" w:rsidRDefault="006C38A8" w:rsidP="006C38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Vooraf: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Laat leerlingen het venster lezen en de introductie bespreken: </w:t>
      </w:r>
      <w:r w:rsidRPr="006C38A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Wat betekent overleven voor jou?</w:t>
      </w:r>
    </w:p>
    <w:p w:rsidR="006C38A8" w:rsidRPr="006C38A8" w:rsidRDefault="006C38A8" w:rsidP="006C38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Tijdens onderzoek: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Stimuleer vragen als:</w:t>
      </w:r>
    </w:p>
    <w:p w:rsidR="006C38A8" w:rsidRPr="006C38A8" w:rsidRDefault="006C38A8" w:rsidP="006C38A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Wat wisten mensen toen niet wat wij nu wel weten?</w:t>
      </w:r>
    </w:p>
    <w:p w:rsidR="006C38A8" w:rsidRPr="006C38A8" w:rsidRDefault="006C38A8" w:rsidP="006C38A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Wat deden ze goed ondanks hun beperkte kennis?</w:t>
      </w:r>
    </w:p>
    <w:p w:rsidR="006C38A8" w:rsidRPr="006C38A8" w:rsidRDefault="006C38A8" w:rsidP="006C38A8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Wat zegt dat over de kracht van mensen?</w:t>
      </w:r>
    </w:p>
    <w:p w:rsidR="006C38A8" w:rsidRPr="006C38A8" w:rsidRDefault="006C38A8" w:rsidP="006C38A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Na afloop: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Laat elk groepje hun vergelijking presenteren en een conclusie trekken: </w:t>
      </w:r>
      <w:r w:rsidRPr="006C38A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Wat kunnen wij leren van vroeger?</w:t>
      </w:r>
    </w:p>
    <w:p w:rsidR="008A140D" w:rsidRDefault="008A140D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br w:type="page"/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lastRenderedPageBreak/>
        <w:t>Thema 1 – Ziekte en gezondheid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Kerninformatie</w:t>
      </w:r>
    </w:p>
    <w:p w:rsidR="006C38A8" w:rsidRPr="006C38A8" w:rsidRDefault="006C38A8" w:rsidP="006C38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In de middeleeuwen brak regelmatig de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pest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uit (vooral 14e eeuw).</w:t>
      </w:r>
    </w:p>
    <w:p w:rsidR="006C38A8" w:rsidRPr="006C38A8" w:rsidRDefault="006C38A8" w:rsidP="006C38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Men dacht dat ziekte een straf van God was, veroorzaakt door zonde of “slechte lucht”.</w:t>
      </w:r>
    </w:p>
    <w:p w:rsidR="006C38A8" w:rsidRPr="006C38A8" w:rsidRDefault="006C38A8" w:rsidP="006C38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Verzorging gebeurde in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kloosters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, waar monniken en nonnen zieken onderdak boden.</w:t>
      </w:r>
    </w:p>
    <w:p w:rsidR="006C38A8" w:rsidRPr="006C38A8" w:rsidRDefault="006C38A8" w:rsidP="006C38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Pas later ontstonden de eerste ziekenhuizen en kennis over hygiëne en besmetting.</w:t>
      </w:r>
    </w:p>
    <w:p w:rsidR="006C38A8" w:rsidRPr="006C38A8" w:rsidRDefault="006C38A8" w:rsidP="006C38A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Tegenwoordig vertrouwen we op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medische wetenschap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, vaccinaties en gezondheidszorg.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Begeleidingsvragen</w:t>
      </w:r>
    </w:p>
    <w:p w:rsidR="006C38A8" w:rsidRPr="006C38A8" w:rsidRDefault="006C38A8" w:rsidP="006C38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probeerden mensen in de middeleeuwen ziektes te begrijpen of bestrijden?</w:t>
      </w:r>
    </w:p>
    <w:p w:rsidR="006C38A8" w:rsidRPr="006C38A8" w:rsidRDefault="006C38A8" w:rsidP="006C38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Welke rol speelden geloof en bijgeloof?</w:t>
      </w:r>
    </w:p>
    <w:p w:rsidR="006C38A8" w:rsidRPr="006C38A8" w:rsidRDefault="006C38A8" w:rsidP="006C38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Welke rol speelde wetenschap tijdens corona?</w:t>
      </w:r>
    </w:p>
    <w:p w:rsidR="006C38A8" w:rsidRPr="006C38A8" w:rsidRDefault="006C38A8" w:rsidP="006C38A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reageren mensen nu nog op angst voor ziekte?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Modelantwoorden</w:t>
      </w:r>
    </w:p>
    <w:p w:rsidR="006C38A8" w:rsidRPr="006C38A8" w:rsidRDefault="006C38A8" w:rsidP="006C38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Toen: gebed, kruistochten, heiligenbeelden, kruiden, quarantaine, kloosterzorg.</w:t>
      </w:r>
    </w:p>
    <w:p w:rsidR="006C38A8" w:rsidRPr="006C38A8" w:rsidRDefault="006C38A8" w:rsidP="006C38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Nu: vaccinatie, artsen, RIVM, hygiëne, informatie via media.</w:t>
      </w:r>
    </w:p>
    <w:p w:rsidR="006C38A8" w:rsidRPr="006C38A8" w:rsidRDefault="006C38A8" w:rsidP="006C38A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Vergelijking: geloof vervangen door wetenschap, maar onzekerheid blijft.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Tips &amp; valkuilen</w:t>
      </w:r>
    </w:p>
    <w:p w:rsidR="006C38A8" w:rsidRPr="006C38A8" w:rsidRDefault="006C38A8" w:rsidP="006C38A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Let op dat leerlingen niet neerkijken op “bijgeloof”, maar begrijpen dat dit toen de beste verklaring was.</w:t>
      </w:r>
    </w:p>
    <w:p w:rsidR="008A140D" w:rsidRDefault="006C38A8" w:rsidP="008A140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Laat ze ook parallellen zien met complottheorieën vandaag — de behoefte om een verklaring te vinden is tijdloos.</w:t>
      </w:r>
    </w:p>
    <w:p w:rsidR="008A140D" w:rsidRPr="006C38A8" w:rsidRDefault="008A140D" w:rsidP="008A14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t>Thema 2 – Honger en armoede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Kerninformatie</w:t>
      </w:r>
    </w:p>
    <w:p w:rsidR="006C38A8" w:rsidRPr="006C38A8" w:rsidRDefault="006C38A8" w:rsidP="006C38A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Slechte oogsten door kou (Kleine IJstijd) of overstromingen veroorzaakten hongersnood.</w:t>
      </w:r>
    </w:p>
    <w:p w:rsidR="006C38A8" w:rsidRPr="006C38A8" w:rsidRDefault="006C38A8" w:rsidP="006C38A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Boeren leefden afhankelijk van grond en landheren.</w:t>
      </w:r>
    </w:p>
    <w:p w:rsidR="006C38A8" w:rsidRPr="006C38A8" w:rsidRDefault="006C38A8" w:rsidP="006C38A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Kloosters en steden zorgden voor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armen- en ziekenzorg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(uit geloofsovertuiging).</w:t>
      </w:r>
    </w:p>
    <w:p w:rsidR="006C38A8" w:rsidRPr="006C38A8" w:rsidRDefault="006C38A8" w:rsidP="006C38A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Vandaag bestaan er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voedselbanken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en </w:t>
      </w: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sociale zekerheid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, maar armoede is nog steeds een thema.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Begeleidingsvragen</w:t>
      </w:r>
    </w:p>
    <w:p w:rsidR="006C38A8" w:rsidRPr="006C38A8" w:rsidRDefault="006C38A8" w:rsidP="006C38A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gebeurde er als de oogst mislukte?</w:t>
      </w:r>
    </w:p>
    <w:p w:rsidR="006C38A8" w:rsidRPr="006C38A8" w:rsidRDefault="006C38A8" w:rsidP="006C38A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Wie hielp armen toen, en wie helpt ze nu?</w:t>
      </w:r>
    </w:p>
    <w:p w:rsidR="006C38A8" w:rsidRPr="006C38A8" w:rsidRDefault="006C38A8" w:rsidP="006C38A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zou het voelen om afhankelijk te zijn van anderen voor eten?</w:t>
      </w:r>
    </w:p>
    <w:p w:rsidR="008A140D" w:rsidRPr="008A140D" w:rsidRDefault="006C38A8" w:rsidP="008A140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gaan we nu om met armoede of ongelijkheid?</w:t>
      </w:r>
    </w:p>
    <w:p w:rsidR="008A140D" w:rsidRDefault="008A140D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lastRenderedPageBreak/>
        <w:t>Modelantwoorden</w:t>
      </w:r>
    </w:p>
    <w:p w:rsidR="006C38A8" w:rsidRPr="006C38A8" w:rsidRDefault="006C38A8" w:rsidP="006C38A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Toen: afhankelijk van natuur en oogst; hulp via kerk of rijke burgers.</w:t>
      </w:r>
    </w:p>
    <w:p w:rsidR="006C38A8" w:rsidRPr="006C38A8" w:rsidRDefault="006C38A8" w:rsidP="006C38A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Nu: georganiseerde hulp via overheid, organisaties, voedselbanken.</w:t>
      </w:r>
    </w:p>
    <w:p w:rsidR="006C38A8" w:rsidRPr="006C38A8" w:rsidRDefault="006C38A8" w:rsidP="006C38A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Vergelijking: solidariteit blijft, maar georganiseerd en minder religieus gestuurd.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Tips &amp; valkuilen</w:t>
      </w:r>
    </w:p>
    <w:p w:rsidR="006C38A8" w:rsidRPr="006C38A8" w:rsidRDefault="006C38A8" w:rsidP="006C38A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Stimuleer empathie: laat leerlingen bedenken hoe “honger” toen voelde.</w:t>
      </w:r>
    </w:p>
    <w:p w:rsidR="006C38A8" w:rsidRDefault="006C38A8" w:rsidP="008A140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Verbind met burgerschap: armoede is nog steeds dichtbij.</w:t>
      </w:r>
    </w:p>
    <w:p w:rsidR="008A140D" w:rsidRPr="006C38A8" w:rsidRDefault="008A140D" w:rsidP="008A14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t>The</w:t>
      </w:r>
      <w:r w:rsidR="008A140D" w:rsidRPr="008A140D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t>m</w:t>
      </w: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t>a 3 – Oorlog en veiligheid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Kerninformatie</w:t>
      </w:r>
    </w:p>
    <w:p w:rsidR="006C38A8" w:rsidRPr="006C38A8" w:rsidRDefault="006C38A8" w:rsidP="006C38A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In de middeleeuwen werden dorpen en steden regelmatig aangevallen.</w:t>
      </w:r>
    </w:p>
    <w:p w:rsidR="006C38A8" w:rsidRPr="006C38A8" w:rsidRDefault="006C38A8" w:rsidP="006C38A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Mensen zochten veiligheid in kastelen, kloosters of achter stadsmuren.</w:t>
      </w:r>
    </w:p>
    <w:p w:rsidR="006C38A8" w:rsidRPr="006C38A8" w:rsidRDefault="006C38A8" w:rsidP="006C38A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Soldaten plunderden dorpen; veiligheid was een luxe.</w:t>
      </w:r>
    </w:p>
    <w:p w:rsidR="006C38A8" w:rsidRPr="006C38A8" w:rsidRDefault="006C38A8" w:rsidP="006C38A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 is oorlog verder weg, maar de gevolgen (vluchtelingen, angst, nieuws) zijn voelbaar.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Begeleidingsvragen</w:t>
      </w:r>
    </w:p>
    <w:p w:rsidR="006C38A8" w:rsidRPr="006C38A8" w:rsidRDefault="006C38A8" w:rsidP="006C38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probeerden mensen zich toen te beschermen?</w:t>
      </w:r>
    </w:p>
    <w:p w:rsidR="006C38A8" w:rsidRPr="006C38A8" w:rsidRDefault="006C38A8" w:rsidP="006C38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deed oorlog met gewone mensen toen?</w:t>
      </w:r>
    </w:p>
    <w:p w:rsidR="006C38A8" w:rsidRPr="006C38A8" w:rsidRDefault="006C38A8" w:rsidP="006C38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ervaren mensen oorlog nu, denk aan Oekraïne of Gaza?</w:t>
      </w:r>
    </w:p>
    <w:p w:rsidR="006C38A8" w:rsidRPr="006C38A8" w:rsidRDefault="006C38A8" w:rsidP="006C38A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betekent veiligheid vandaag voor leerlingen zelf?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Modelantwoorden</w:t>
      </w:r>
    </w:p>
    <w:p w:rsidR="006C38A8" w:rsidRPr="006C38A8" w:rsidRDefault="006C38A8" w:rsidP="006C38A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Toen: vlucht naar kastelen, versterkte steden, religie als troost.</w:t>
      </w:r>
    </w:p>
    <w:p w:rsidR="006C38A8" w:rsidRPr="006C38A8" w:rsidRDefault="006C38A8" w:rsidP="006C38A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Nu: leger, NAVO, opvang, internationale hulp.</w:t>
      </w:r>
    </w:p>
    <w:p w:rsidR="006C38A8" w:rsidRPr="006C38A8" w:rsidRDefault="006C38A8" w:rsidP="006C38A8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Vergelijking: oorlog blijft verwoestend, maar hulp en communicatie zijn groter.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Tips &amp; valkuilen</w:t>
      </w:r>
    </w:p>
    <w:p w:rsidR="006C38A8" w:rsidRPr="006C38A8" w:rsidRDefault="006C38A8" w:rsidP="006C38A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Wees gevoelig: sommige leerlingen kunnen persoonlijke ervaringen met oorlog hebben.</w:t>
      </w:r>
    </w:p>
    <w:p w:rsidR="006C38A8" w:rsidRPr="006C38A8" w:rsidRDefault="006C38A8" w:rsidP="006C38A8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Focus op veerkracht en hulp in plaats van enkel geweld.</w:t>
      </w:r>
    </w:p>
    <w:p w:rsidR="006C38A8" w:rsidRDefault="006C38A8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8A140D" w:rsidRDefault="008A140D" w:rsidP="006C38A8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8A140D" w:rsidRDefault="008A140D">
      <w:pP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br w:type="page"/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lastRenderedPageBreak/>
        <w:t>Thema 4 – Geloof en hoop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Kerninformatie</w:t>
      </w:r>
    </w:p>
    <w:p w:rsidR="006C38A8" w:rsidRPr="006C38A8" w:rsidRDefault="006C38A8" w:rsidP="006C38A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In de middeleeuwen speelde religie een centrale rol: gebed, processies, heiligenverering.</w:t>
      </w:r>
    </w:p>
    <w:p w:rsidR="006C38A8" w:rsidRPr="006C38A8" w:rsidRDefault="006C38A8" w:rsidP="006C38A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Geloof gaf troost bij rampen: men vertrouwde op God of de heiligen.</w:t>
      </w:r>
    </w:p>
    <w:p w:rsidR="006C38A8" w:rsidRPr="006C38A8" w:rsidRDefault="006C38A8" w:rsidP="006C38A8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 vinden mensen hoop in verschillende dingen: geloof, wetenschap, kunst, gemeenschap.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Begeleidingsvragen</w:t>
      </w:r>
    </w:p>
    <w:p w:rsidR="006C38A8" w:rsidRPr="006C38A8" w:rsidRDefault="006C38A8" w:rsidP="006C38A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Waarom gaf geloof toen kracht?</w:t>
      </w:r>
    </w:p>
    <w:p w:rsidR="006C38A8" w:rsidRPr="006C38A8" w:rsidRDefault="006C38A8" w:rsidP="006C38A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geeft mensen nu hoop in moeilijke tijden?</w:t>
      </w:r>
    </w:p>
    <w:p w:rsidR="006C38A8" w:rsidRPr="006C38A8" w:rsidRDefault="006C38A8" w:rsidP="006C38A8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Welke rol speelt geloof vandaag nog bij rampen of verlies?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Modelantwoorden</w:t>
      </w:r>
    </w:p>
    <w:p w:rsidR="006C38A8" w:rsidRPr="006C38A8" w:rsidRDefault="006C38A8" w:rsidP="006C38A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Toen: vertrouwen op goddelijke wil, rituelen en gebeden.</w:t>
      </w:r>
    </w:p>
    <w:p w:rsidR="006C38A8" w:rsidRPr="006C38A8" w:rsidRDefault="006C38A8" w:rsidP="006C38A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Nu: </w:t>
      </w:r>
      <w:proofErr w:type="spellStart"/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diverser</w:t>
      </w:r>
      <w:proofErr w:type="spellEnd"/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 — gebed, kunst, vrijwilligerswerk, samenzijn.</w:t>
      </w:r>
    </w:p>
    <w:p w:rsidR="006C38A8" w:rsidRPr="006C38A8" w:rsidRDefault="006C38A8" w:rsidP="006C38A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Vergelijking: de behoefte aan betekenis is hetzelfde gebleven, de vorm anders.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Tips &amp; valkuilen</w:t>
      </w:r>
    </w:p>
    <w:p w:rsidR="006C38A8" w:rsidRPr="006C38A8" w:rsidRDefault="006C38A8" w:rsidP="006C38A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Stimuleer respectvolle gesprekken over geloof; het is geen discussie “geloof vs. wetenschap”.</w:t>
      </w:r>
    </w:p>
    <w:p w:rsidR="006C38A8" w:rsidRDefault="006C38A8" w:rsidP="008A140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Laat ook niet-religieuze vormen van hoop toe (muziek, kunst, samenhorigheid).</w:t>
      </w:r>
    </w:p>
    <w:p w:rsidR="008A140D" w:rsidRPr="006C38A8" w:rsidRDefault="008A140D" w:rsidP="008A140D">
      <w:pPr>
        <w:spacing w:before="100" w:beforeAutospacing="1" w:after="100" w:afterAutospacing="1" w:line="240" w:lineRule="auto"/>
        <w:ind w:left="720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t>Thema 5 – Samenleven en solidariteit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Kerninformatie</w:t>
      </w:r>
    </w:p>
    <w:p w:rsidR="006C38A8" w:rsidRPr="006C38A8" w:rsidRDefault="006C38A8" w:rsidP="006C38A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Overleven kon alleen samen: pestzusters, kloosterlingen, buren hielpen elkaar.</w:t>
      </w:r>
    </w:p>
    <w:p w:rsidR="006C38A8" w:rsidRPr="006C38A8" w:rsidRDefault="006C38A8" w:rsidP="006C38A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Armenzorg was religieus gemotiveerd: “naastenliefde” als plicht.</w:t>
      </w:r>
    </w:p>
    <w:p w:rsidR="006C38A8" w:rsidRPr="006C38A8" w:rsidRDefault="006C38A8" w:rsidP="006C38A8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Vandaag: vrijwilligerswerk, burenhulp, nationale acties (Giro555).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Begeleidingsvragen</w:t>
      </w:r>
    </w:p>
    <w:p w:rsidR="006C38A8" w:rsidRPr="006C38A8" w:rsidRDefault="006C38A8" w:rsidP="006C38A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Waarom hielpen mensen elkaar toen?</w:t>
      </w:r>
    </w:p>
    <w:p w:rsidR="006C38A8" w:rsidRPr="006C38A8" w:rsidRDefault="006C38A8" w:rsidP="006C38A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tonen we nu solidariteit?</w:t>
      </w:r>
    </w:p>
    <w:p w:rsidR="006C38A8" w:rsidRPr="006C38A8" w:rsidRDefault="006C38A8" w:rsidP="006C38A8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is het verschil tussen geloofsplicht en keuze om te helpen?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Modelantwoorden</w:t>
      </w:r>
    </w:p>
    <w:p w:rsidR="006C38A8" w:rsidRPr="006C38A8" w:rsidRDefault="006C38A8" w:rsidP="006C38A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Toen: helpen uit religieuze overtuiging, vaak binnen eigen gemeenschap.</w:t>
      </w:r>
    </w:p>
    <w:p w:rsidR="006C38A8" w:rsidRPr="006C38A8" w:rsidRDefault="006C38A8" w:rsidP="006C38A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Nu: helpen uit menselijkheid of burgerschap, breder en georganiseerd.</w:t>
      </w:r>
    </w:p>
    <w:p w:rsidR="006C38A8" w:rsidRPr="006C38A8" w:rsidRDefault="006C38A8" w:rsidP="006C38A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Vergelijking: hulpbehoefte blijft, motivatie en structuur veranderen.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Tips &amp; valkuilen</w:t>
      </w:r>
    </w:p>
    <w:p w:rsidR="006C38A8" w:rsidRPr="006C38A8" w:rsidRDefault="006C38A8" w:rsidP="006C38A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Benadruk dat solidariteit universeel is: elke cultuur kent vormen van hulp.</w:t>
      </w:r>
    </w:p>
    <w:p w:rsidR="006C38A8" w:rsidRPr="006C38A8" w:rsidRDefault="006C38A8" w:rsidP="008A140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Laat leerlingen voorbeelden zoeken van lokale hulpacties.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8"/>
          <w:szCs w:val="28"/>
          <w:u w:val="single"/>
          <w:lang w:eastAsia="nl-NL"/>
          <w14:ligatures w14:val="none"/>
        </w:rPr>
        <w:lastRenderedPageBreak/>
        <w:t>Thema 6 – Klimaat en natuur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Kerninformatie</w:t>
      </w:r>
    </w:p>
    <w:p w:rsidR="006C38A8" w:rsidRPr="006C38A8" w:rsidRDefault="006C38A8" w:rsidP="006C38A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Middeleeuwse boeren waren afhankelijk van het weer: een koude lente betekende honger.</w:t>
      </w:r>
    </w:p>
    <w:p w:rsidR="006C38A8" w:rsidRPr="006C38A8" w:rsidRDefault="006C38A8" w:rsidP="006C38A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Overstromingen en kou verwoestten oogsten → “barre tijden”.</w:t>
      </w:r>
    </w:p>
    <w:p w:rsidR="006C38A8" w:rsidRPr="006C38A8" w:rsidRDefault="006C38A8" w:rsidP="006C38A8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Vandaag is klimaatverandering opnieuw een bedreiging, maar nu door menselijk handelen.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Begeleidingsvragen</w:t>
      </w:r>
    </w:p>
    <w:p w:rsidR="006C38A8" w:rsidRPr="006C38A8" w:rsidRDefault="006C38A8" w:rsidP="006C38A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beïnvloedde natuur het leven toen?</w:t>
      </w:r>
    </w:p>
    <w:p w:rsidR="006C38A8" w:rsidRPr="006C38A8" w:rsidRDefault="006C38A8" w:rsidP="006C38A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beïnvloedt klimaatverandering ons nu?</w:t>
      </w:r>
    </w:p>
    <w:p w:rsidR="006C38A8" w:rsidRPr="006C38A8" w:rsidRDefault="006C38A8" w:rsidP="006C38A8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Hoe bereiden we ons tegenwoordig voor op natuurrampen?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Modelantwoorden</w:t>
      </w:r>
    </w:p>
    <w:p w:rsidR="006C38A8" w:rsidRPr="006C38A8" w:rsidRDefault="006C38A8" w:rsidP="006C38A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Toen: geen controle, gebed of offers om rampen af te wenden.</w:t>
      </w:r>
    </w:p>
    <w:p w:rsidR="006C38A8" w:rsidRPr="006C38A8" w:rsidRDefault="006C38A8" w:rsidP="006C38A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Nu: technologie, dijken, beleid, duurzaamheid.</w:t>
      </w:r>
    </w:p>
    <w:p w:rsidR="006C38A8" w:rsidRPr="006C38A8" w:rsidRDefault="006C38A8" w:rsidP="006C38A8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Vergelijking: natuur blijft onvoorspelbaar, maar kennis en voorbereiding beter.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nl-NL"/>
          <w14:ligatures w14:val="none"/>
        </w:rPr>
        <w:t>Tips &amp; valkuilen</w:t>
      </w:r>
    </w:p>
    <w:p w:rsidR="006C38A8" w:rsidRPr="006C38A8" w:rsidRDefault="006C38A8" w:rsidP="006C38A8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Laat leerlingen een “barre tijden” uit het nieuws koppelen (droogte, overstroming).</w:t>
      </w:r>
    </w:p>
    <w:p w:rsidR="006C38A8" w:rsidRPr="006C38A8" w:rsidRDefault="006C38A8" w:rsidP="008A140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Verbind met burgerschap: klimaat als gezamenlijke verantwoordelijkheid.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  <w:t>Evaluatie en reflectie</w:t>
      </w:r>
    </w:p>
    <w:p w:rsidR="006C38A8" w:rsidRPr="006C38A8" w:rsidRDefault="006C38A8" w:rsidP="006C38A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 xml:space="preserve">Laat leerlingen posters of presentaties ophangen in de klas: </w:t>
      </w:r>
      <w:r w:rsidRPr="006C38A8">
        <w:rPr>
          <w:rFonts w:ascii="Cambria" w:eastAsia="Times New Roman" w:hAnsi="Cambria" w:cs="Times New Roman"/>
          <w:i/>
          <w:iCs/>
          <w:kern w:val="0"/>
          <w:sz w:val="22"/>
          <w:szCs w:val="22"/>
          <w:lang w:eastAsia="nl-NL"/>
          <w14:ligatures w14:val="none"/>
        </w:rPr>
        <w:t>“Overleven toen &amp; nu”</w:t>
      </w: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.</w:t>
      </w:r>
    </w:p>
    <w:p w:rsidR="006C38A8" w:rsidRPr="006C38A8" w:rsidRDefault="006C38A8" w:rsidP="006C38A8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Bespreek klassikaal:</w:t>
      </w:r>
    </w:p>
    <w:p w:rsidR="006C38A8" w:rsidRPr="006C38A8" w:rsidRDefault="006C38A8" w:rsidP="006C38A8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was er toen beter dan we dachten?</w:t>
      </w:r>
    </w:p>
    <w:p w:rsidR="006C38A8" w:rsidRPr="006C38A8" w:rsidRDefault="006C38A8" w:rsidP="008A140D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</w:pPr>
      <w:r w:rsidRPr="006C38A8">
        <w:rPr>
          <w:rFonts w:ascii="Cambria" w:eastAsia="Times New Roman" w:hAnsi="Cambria" w:cs="Times New Roman"/>
          <w:kern w:val="0"/>
          <w:sz w:val="22"/>
          <w:szCs w:val="22"/>
          <w:lang w:eastAsia="nl-NL"/>
          <w14:ligatures w14:val="none"/>
        </w:rPr>
        <w:t>Wat kunnen wij leren over veerkracht en samenwerking?</w:t>
      </w:r>
    </w:p>
    <w:p w:rsidR="006C38A8" w:rsidRPr="006C38A8" w:rsidRDefault="006C38A8" w:rsidP="006C38A8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</w:pPr>
      <w:proofErr w:type="spellStart"/>
      <w:r w:rsidRPr="006C38A8">
        <w:rPr>
          <w:rFonts w:ascii="Cambria" w:eastAsia="Times New Roman" w:hAnsi="Cambria" w:cs="Times New Roman"/>
          <w:b/>
          <w:bCs/>
          <w:kern w:val="0"/>
          <w:sz w:val="22"/>
          <w:szCs w:val="22"/>
          <w:u w:val="single"/>
          <w:lang w:eastAsia="nl-NL"/>
          <w14:ligatures w14:val="none"/>
        </w:rPr>
        <w:t>Rubric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66"/>
        <w:gridCol w:w="1876"/>
        <w:gridCol w:w="2015"/>
        <w:gridCol w:w="1713"/>
        <w:gridCol w:w="1892"/>
      </w:tblGrid>
      <w:tr w:rsidR="006C38A8" w:rsidRPr="006C38A8" w:rsidTr="008A140D"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Niveau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Inhoud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Vergelijking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Analyse &amp; Reflectie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Vormgeving /</w:t>
            </w:r>
            <w:proofErr w:type="gramEnd"/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 xml:space="preserve"> Presentatie</w:t>
            </w:r>
          </w:p>
        </w:tc>
      </w:tr>
      <w:tr w:rsidR="006C38A8" w:rsidRPr="006C38A8" w:rsidTr="008A140D"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Onvoldoende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Te weinig info over verleden of heden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Geen duidelijke vergelijking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Weinig inzicht of mening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Onverzorgd, onduidelijk</w:t>
            </w:r>
          </w:p>
        </w:tc>
      </w:tr>
      <w:tr w:rsidR="006C38A8" w:rsidRPr="006C38A8" w:rsidTr="008A140D"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Voldoende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Basisfeiten correct, minstens 1 vergelijking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Kort uitgelegd wat verschilt of hetzelfde is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Simpele reflectie (“nu beter”)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Overzichtelijk, basisposter</w:t>
            </w:r>
          </w:p>
        </w:tc>
      </w:tr>
      <w:tr w:rsidR="006C38A8" w:rsidRPr="006C38A8" w:rsidTr="008A140D"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Goed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Uitgebreide uitleg met concrete voorbeelden en bronnen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Minstens 3 goed onderbouwde vergelijkingen per thema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Inzichtvolle reflectie (“behoefte aan hoop blijft”)</w:t>
            </w:r>
          </w:p>
        </w:tc>
        <w:tc>
          <w:tcPr>
            <w:tcW w:w="0" w:type="auto"/>
            <w:hideMark/>
          </w:tcPr>
          <w:p w:rsidR="006C38A8" w:rsidRPr="006C38A8" w:rsidRDefault="006C38A8" w:rsidP="006C38A8">
            <w:pPr>
              <w:jc w:val="both"/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</w:pPr>
            <w:r w:rsidRPr="006C38A8">
              <w:rPr>
                <w:rFonts w:ascii="Cambria" w:eastAsia="Times New Roman" w:hAnsi="Cambria" w:cs="Times New Roman"/>
                <w:kern w:val="0"/>
                <w:sz w:val="22"/>
                <w:szCs w:val="22"/>
                <w:lang w:eastAsia="nl-NL"/>
                <w14:ligatures w14:val="none"/>
              </w:rPr>
              <w:t>Creatief, verzorgd, overtuigende presentatie</w:t>
            </w:r>
          </w:p>
        </w:tc>
      </w:tr>
    </w:tbl>
    <w:p w:rsidR="00213CBB" w:rsidRPr="006C38A8" w:rsidRDefault="00213CBB" w:rsidP="006C38A8">
      <w:pPr>
        <w:jc w:val="both"/>
        <w:rPr>
          <w:rFonts w:ascii="Cambria" w:hAnsi="Cambria"/>
          <w:sz w:val="22"/>
          <w:szCs w:val="22"/>
        </w:rPr>
      </w:pPr>
    </w:p>
    <w:sectPr w:rsidR="00213CBB" w:rsidRPr="006C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B40" w:rsidRDefault="00406B40" w:rsidP="008A140D">
      <w:pPr>
        <w:spacing w:after="0" w:line="240" w:lineRule="auto"/>
      </w:pPr>
      <w:r>
        <w:separator/>
      </w:r>
    </w:p>
  </w:endnote>
  <w:endnote w:type="continuationSeparator" w:id="0">
    <w:p w:rsidR="00406B40" w:rsidRDefault="00406B40" w:rsidP="008A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B40" w:rsidRDefault="00406B40" w:rsidP="008A140D">
      <w:pPr>
        <w:spacing w:after="0" w:line="240" w:lineRule="auto"/>
      </w:pPr>
      <w:r>
        <w:separator/>
      </w:r>
    </w:p>
  </w:footnote>
  <w:footnote w:type="continuationSeparator" w:id="0">
    <w:p w:rsidR="00406B40" w:rsidRDefault="00406B40" w:rsidP="008A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440"/>
    <w:multiLevelType w:val="multilevel"/>
    <w:tmpl w:val="D838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2007"/>
    <w:multiLevelType w:val="multilevel"/>
    <w:tmpl w:val="E7F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B1FD5"/>
    <w:multiLevelType w:val="multilevel"/>
    <w:tmpl w:val="BF34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B0D8D"/>
    <w:multiLevelType w:val="multilevel"/>
    <w:tmpl w:val="2D14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14717"/>
    <w:multiLevelType w:val="multilevel"/>
    <w:tmpl w:val="1C4C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27DD"/>
    <w:multiLevelType w:val="multilevel"/>
    <w:tmpl w:val="E48E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8100A"/>
    <w:multiLevelType w:val="multilevel"/>
    <w:tmpl w:val="F7EE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56EB8"/>
    <w:multiLevelType w:val="multilevel"/>
    <w:tmpl w:val="B082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B260F"/>
    <w:multiLevelType w:val="multilevel"/>
    <w:tmpl w:val="6DB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26E39"/>
    <w:multiLevelType w:val="multilevel"/>
    <w:tmpl w:val="B9E0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E18E6"/>
    <w:multiLevelType w:val="multilevel"/>
    <w:tmpl w:val="EEEA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A4AE7"/>
    <w:multiLevelType w:val="multilevel"/>
    <w:tmpl w:val="7E3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A7F26"/>
    <w:multiLevelType w:val="multilevel"/>
    <w:tmpl w:val="355C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7306F"/>
    <w:multiLevelType w:val="multilevel"/>
    <w:tmpl w:val="7B7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373BC"/>
    <w:multiLevelType w:val="multilevel"/>
    <w:tmpl w:val="8686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2345A5"/>
    <w:multiLevelType w:val="multilevel"/>
    <w:tmpl w:val="24D4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415E46"/>
    <w:multiLevelType w:val="multilevel"/>
    <w:tmpl w:val="D82A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56DAF"/>
    <w:multiLevelType w:val="multilevel"/>
    <w:tmpl w:val="23D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4B62C5"/>
    <w:multiLevelType w:val="multilevel"/>
    <w:tmpl w:val="D6E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E26B2"/>
    <w:multiLevelType w:val="multilevel"/>
    <w:tmpl w:val="440E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F5CDF"/>
    <w:multiLevelType w:val="multilevel"/>
    <w:tmpl w:val="23E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CF3CC5"/>
    <w:multiLevelType w:val="multilevel"/>
    <w:tmpl w:val="26D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E4814"/>
    <w:multiLevelType w:val="multilevel"/>
    <w:tmpl w:val="E656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6462AE"/>
    <w:multiLevelType w:val="multilevel"/>
    <w:tmpl w:val="D55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338A5"/>
    <w:multiLevelType w:val="multilevel"/>
    <w:tmpl w:val="ACC2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F18EA"/>
    <w:multiLevelType w:val="multilevel"/>
    <w:tmpl w:val="F17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B1466"/>
    <w:multiLevelType w:val="multilevel"/>
    <w:tmpl w:val="721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728634">
    <w:abstractNumId w:val="14"/>
  </w:num>
  <w:num w:numId="2" w16cid:durableId="853493120">
    <w:abstractNumId w:val="3"/>
  </w:num>
  <w:num w:numId="3" w16cid:durableId="1723824134">
    <w:abstractNumId w:val="5"/>
  </w:num>
  <w:num w:numId="4" w16cid:durableId="1523207816">
    <w:abstractNumId w:val="20"/>
  </w:num>
  <w:num w:numId="5" w16cid:durableId="824971522">
    <w:abstractNumId w:val="2"/>
  </w:num>
  <w:num w:numId="6" w16cid:durableId="1674330683">
    <w:abstractNumId w:val="13"/>
  </w:num>
  <w:num w:numId="7" w16cid:durableId="1951429774">
    <w:abstractNumId w:val="8"/>
  </w:num>
  <w:num w:numId="8" w16cid:durableId="1469132216">
    <w:abstractNumId w:val="16"/>
  </w:num>
  <w:num w:numId="9" w16cid:durableId="1879311902">
    <w:abstractNumId w:val="11"/>
  </w:num>
  <w:num w:numId="10" w16cid:durableId="949052649">
    <w:abstractNumId w:val="25"/>
  </w:num>
  <w:num w:numId="11" w16cid:durableId="1210530596">
    <w:abstractNumId w:val="0"/>
  </w:num>
  <w:num w:numId="12" w16cid:durableId="2013531136">
    <w:abstractNumId w:val="6"/>
  </w:num>
  <w:num w:numId="13" w16cid:durableId="1733455957">
    <w:abstractNumId w:val="7"/>
  </w:num>
  <w:num w:numId="14" w16cid:durableId="441850816">
    <w:abstractNumId w:val="18"/>
  </w:num>
  <w:num w:numId="15" w16cid:durableId="478155335">
    <w:abstractNumId w:val="21"/>
  </w:num>
  <w:num w:numId="16" w16cid:durableId="993485714">
    <w:abstractNumId w:val="22"/>
  </w:num>
  <w:num w:numId="17" w16cid:durableId="1536964776">
    <w:abstractNumId w:val="10"/>
  </w:num>
  <w:num w:numId="18" w16cid:durableId="1363482574">
    <w:abstractNumId w:val="19"/>
  </w:num>
  <w:num w:numId="19" w16cid:durableId="539514960">
    <w:abstractNumId w:val="24"/>
  </w:num>
  <w:num w:numId="20" w16cid:durableId="930236124">
    <w:abstractNumId w:val="12"/>
  </w:num>
  <w:num w:numId="21" w16cid:durableId="2041930184">
    <w:abstractNumId w:val="15"/>
  </w:num>
  <w:num w:numId="22" w16cid:durableId="1219054877">
    <w:abstractNumId w:val="1"/>
  </w:num>
  <w:num w:numId="23" w16cid:durableId="1937514682">
    <w:abstractNumId w:val="4"/>
  </w:num>
  <w:num w:numId="24" w16cid:durableId="1951551726">
    <w:abstractNumId w:val="17"/>
  </w:num>
  <w:num w:numId="25" w16cid:durableId="340279459">
    <w:abstractNumId w:val="26"/>
  </w:num>
  <w:num w:numId="26" w16cid:durableId="973026044">
    <w:abstractNumId w:val="23"/>
  </w:num>
  <w:num w:numId="27" w16cid:durableId="1104037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A8"/>
    <w:rsid w:val="00213CBB"/>
    <w:rsid w:val="00221AC3"/>
    <w:rsid w:val="003F397F"/>
    <w:rsid w:val="00406B40"/>
    <w:rsid w:val="00644227"/>
    <w:rsid w:val="006C38A8"/>
    <w:rsid w:val="008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DC18"/>
  <w15:chartTrackingRefBased/>
  <w15:docId w15:val="{A3A261A1-19B6-FF4A-8F46-7F461B9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C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C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C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38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38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38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38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38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38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38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38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38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38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38A8"/>
    <w:rPr>
      <w:b/>
      <w:bCs/>
      <w:smallCaps/>
      <w:color w:val="0F4761" w:themeColor="accent1" w:themeShade="BF"/>
      <w:spacing w:val="5"/>
    </w:rPr>
  </w:style>
  <w:style w:type="character" w:styleId="Nadruk">
    <w:name w:val="Emphasis"/>
    <w:basedOn w:val="Standaardalinea-lettertype"/>
    <w:uiPriority w:val="20"/>
    <w:qFormat/>
    <w:rsid w:val="006C38A8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6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C38A8"/>
    <w:rPr>
      <w:b/>
      <w:bCs/>
    </w:rPr>
  </w:style>
  <w:style w:type="table" w:styleId="Tabelraster">
    <w:name w:val="Table Grid"/>
    <w:basedOn w:val="Standaardtabel"/>
    <w:uiPriority w:val="39"/>
    <w:rsid w:val="008A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40D"/>
  </w:style>
  <w:style w:type="paragraph" w:styleId="Voettekst">
    <w:name w:val="footer"/>
    <w:basedOn w:val="Standaard"/>
    <w:link w:val="VoettekstChar"/>
    <w:uiPriority w:val="99"/>
    <w:unhideWhenUsed/>
    <w:rsid w:val="008A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1256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1</cp:revision>
  <dcterms:created xsi:type="dcterms:W3CDTF">2025-10-13T15:36:00Z</dcterms:created>
  <dcterms:modified xsi:type="dcterms:W3CDTF">2025-10-13T16:33:00Z</dcterms:modified>
</cp:coreProperties>
</file>